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hAnsi="仿宋_GB2312" w:eastAsia="宋体" w:cs="仿宋_GB2312"/>
          <w:color w:val="0C0C0C"/>
          <w:kern w:val="0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eastAsia="仿宋_GB2312" w:cs="Times New Roman"/>
          <w:kern w:val="2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pageBreakBefore w:val="0"/>
        <w:tabs>
          <w:tab w:val="left" w:pos="8736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-78" w:rightChars="-37"/>
        <w:jc w:val="center"/>
        <w:textAlignment w:val="auto"/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44"/>
          <w:szCs w:val="44"/>
          <w:u w:val="none"/>
          <w:lang w:val="en-US" w:eastAsia="zh-CN" w:bidi="ar-SA"/>
        </w:rPr>
        <w:t>2023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  <w:t>年广州市人工智能领域应用场景</w:t>
      </w:r>
    </w:p>
    <w:p>
      <w:pPr>
        <w:pageBreakBefore w:val="0"/>
        <w:tabs>
          <w:tab w:val="left" w:pos="8736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-78" w:rightChars="-37"/>
        <w:jc w:val="center"/>
        <w:textAlignment w:val="auto"/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宋体"/>
          <w:color w:val="000000"/>
          <w:sz w:val="44"/>
          <w:szCs w:val="44"/>
          <w:lang w:val="en-US" w:eastAsia="zh-CN"/>
        </w:rPr>
        <w:t>填报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  <w:t>表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申报单位：</w:t>
      </w:r>
    </w:p>
    <w:tbl>
      <w:tblPr>
        <w:tblStyle w:val="6"/>
        <w:tblpPr w:leftFromText="180" w:rightFromText="180" w:vertAnchor="text" w:horzAnchor="page" w:tblpX="1410" w:tblpY="24"/>
        <w:tblOverlap w:val="never"/>
        <w:tblW w:w="92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3511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应用场景名称</w:t>
            </w:r>
          </w:p>
        </w:tc>
        <w:tc>
          <w:tcPr>
            <w:tcW w:w="7029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场景建设单位名称</w:t>
            </w:r>
          </w:p>
        </w:tc>
        <w:tc>
          <w:tcPr>
            <w:tcW w:w="7029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技术提供单位名称</w:t>
            </w:r>
          </w:p>
        </w:tc>
        <w:tc>
          <w:tcPr>
            <w:tcW w:w="7029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应用场景实施区域</w:t>
            </w:r>
          </w:p>
        </w:tc>
        <w:tc>
          <w:tcPr>
            <w:tcW w:w="7029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21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所属领域</w:t>
            </w:r>
          </w:p>
        </w:tc>
        <w:tc>
          <w:tcPr>
            <w:tcW w:w="702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智慧城市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智能制造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智慧交通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智慧教育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智慧医疗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智慧安防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智慧物流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智慧金融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智慧商贸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智能农业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86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申报单位联系人</w:t>
            </w:r>
          </w:p>
        </w:tc>
        <w:tc>
          <w:tcPr>
            <w:tcW w:w="351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59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</w:trPr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典型案例介绍</w:t>
            </w:r>
          </w:p>
        </w:tc>
        <w:tc>
          <w:tcPr>
            <w:tcW w:w="702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（建设内容，解决问题，建设期限，投资情况，解决方案，项目效果等）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应用（或拟应用）的人工智能关键技术简介</w:t>
            </w:r>
          </w:p>
        </w:tc>
        <w:tc>
          <w:tcPr>
            <w:tcW w:w="702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（采用的技术路线、技术先进性等）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典型案例的推广应用及未来前景等</w:t>
            </w:r>
          </w:p>
        </w:tc>
        <w:tc>
          <w:tcPr>
            <w:tcW w:w="702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31F58"/>
    <w:rsid w:val="06E31F58"/>
    <w:rsid w:val="2CA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libri Light" w:hAnsi="Calibri Light" w:eastAsia="宋体" w:cs="Times New Roman"/>
      <w:b/>
      <w:bCs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before="100" w:line="360" w:lineRule="exact"/>
      <w:jc w:val="center"/>
    </w:pPr>
    <w:rPr>
      <w:rFonts w:ascii="仿宋_GB2312" w:hAnsi="华文中宋" w:eastAsia="仿宋_GB2312" w:cs="仿宋_GB2312"/>
      <w:sz w:val="24"/>
      <w:szCs w:val="24"/>
    </w:rPr>
  </w:style>
  <w:style w:type="paragraph" w:styleId="4">
    <w:name w:val="Body Text Indent"/>
    <w:basedOn w:val="1"/>
    <w:unhideWhenUsed/>
    <w:qFormat/>
    <w:uiPriority w:val="99"/>
    <w:pPr>
      <w:spacing w:line="360" w:lineRule="auto"/>
      <w:ind w:firstLine="560" w:firstLineChars="200"/>
      <w:jc w:val="both"/>
    </w:pPr>
    <w:rPr>
      <w:rFonts w:ascii="仿宋_GB2312" w:hAnsi="仿宋_GB2312" w:eastAsia="仿宋_GB2312" w:cs="宋体"/>
      <w:kern w:val="0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大标题"/>
    <w:basedOn w:val="1"/>
    <w:qFormat/>
    <w:uiPriority w:val="0"/>
    <w:pPr>
      <w:spacing w:line="360" w:lineRule="auto"/>
      <w:jc w:val="center"/>
    </w:pPr>
    <w:rPr>
      <w:rFonts w:ascii="Calibri" w:hAnsi="Calibri" w:eastAsia="方正小标宋简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2023-08-10T03:09:00Z</dcterms:created>
  <dc:creator>未定义</dc:creator>
  <cp:lastModifiedBy>未定义</cp:lastModifiedBy>
  <dcterms:modified xsi:type="dcterms:W3CDTF">2023-08-10T03:10:40Z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